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878C6" w14:textId="572827CF" w:rsidR="00A76D9F" w:rsidRPr="00525176" w:rsidRDefault="00A76D9F" w:rsidP="003A078B">
      <w:pPr>
        <w:spacing w:after="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25176">
        <w:rPr>
          <w:rFonts w:ascii="Times New Roman" w:hAnsi="Times New Roman" w:cs="Times New Roman"/>
          <w:i/>
          <w:iCs/>
          <w:sz w:val="28"/>
          <w:szCs w:val="28"/>
        </w:rPr>
        <w:t>Ступакова</w:t>
      </w:r>
      <w:proofErr w:type="spellEnd"/>
      <w:r w:rsidRPr="00525176">
        <w:rPr>
          <w:rFonts w:ascii="Times New Roman" w:hAnsi="Times New Roman" w:cs="Times New Roman"/>
          <w:i/>
          <w:iCs/>
          <w:sz w:val="28"/>
          <w:szCs w:val="28"/>
        </w:rPr>
        <w:t xml:space="preserve"> А.В., Дедов А.В.</w:t>
      </w:r>
    </w:p>
    <w:p w14:paraId="2D9A2311" w14:textId="77777777" w:rsidR="00A76D9F" w:rsidRPr="00525176" w:rsidRDefault="00A76D9F" w:rsidP="00A76D9F">
      <w:pPr>
        <w:pStyle w:val="4"/>
        <w:rPr>
          <w:sz w:val="28"/>
          <w:szCs w:val="28"/>
        </w:rPr>
      </w:pPr>
      <w:r w:rsidRPr="00525176">
        <w:rPr>
          <w:sz w:val="28"/>
          <w:szCs w:val="28"/>
        </w:rPr>
        <w:t xml:space="preserve">Национальный исследовательский университет «МЭИ», </w:t>
      </w:r>
    </w:p>
    <w:p w14:paraId="50E44359" w14:textId="0C3FF1DF" w:rsidR="00525176" w:rsidRPr="003A078B" w:rsidRDefault="00A76D9F" w:rsidP="003A078B">
      <w:pPr>
        <w:pStyle w:val="4"/>
        <w:rPr>
          <w:sz w:val="28"/>
          <w:szCs w:val="28"/>
        </w:rPr>
      </w:pPr>
      <w:r w:rsidRPr="00525176">
        <w:rPr>
          <w:sz w:val="28"/>
          <w:szCs w:val="28"/>
        </w:rPr>
        <w:t>Москва, 111250, Красноказарменная, 14</w:t>
      </w:r>
    </w:p>
    <w:p w14:paraId="67F072E2" w14:textId="1B24459B" w:rsidR="00525176" w:rsidRPr="00525176" w:rsidRDefault="00525176" w:rsidP="00525176">
      <w:pPr>
        <w:pStyle w:val="5"/>
        <w:rPr>
          <w:sz w:val="28"/>
          <w:szCs w:val="28"/>
        </w:rPr>
      </w:pPr>
      <w:r w:rsidRPr="00525176">
        <w:rPr>
          <w:sz w:val="28"/>
          <w:szCs w:val="28"/>
        </w:rPr>
        <w:t>Расчет критического теплового потока при кипении на микр</w:t>
      </w:r>
      <w:r w:rsidR="00F1678B">
        <w:rPr>
          <w:sz w:val="28"/>
          <w:szCs w:val="28"/>
        </w:rPr>
        <w:t>оструктурированных поверхностях</w:t>
      </w:r>
    </w:p>
    <w:p w14:paraId="3EA9339D" w14:textId="01477BE4" w:rsidR="00D51D92" w:rsidRPr="00525176" w:rsidRDefault="003C3B12" w:rsidP="005D579B">
      <w:pPr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hAnsi="Times New Roman" w:cs="Times New Roman"/>
          <w:sz w:val="28"/>
          <w:szCs w:val="28"/>
        </w:rPr>
        <w:t xml:space="preserve">Пузырьковое кипение является одним из наиболее эффективных способов теплоотвода от </w:t>
      </w:r>
      <w:proofErr w:type="spellStart"/>
      <w:r w:rsidRPr="00525176">
        <w:rPr>
          <w:rFonts w:ascii="Times New Roman" w:hAnsi="Times New Roman" w:cs="Times New Roman"/>
          <w:sz w:val="28"/>
          <w:szCs w:val="28"/>
        </w:rPr>
        <w:t>энергонапряженных</w:t>
      </w:r>
      <w:proofErr w:type="spellEnd"/>
      <w:r w:rsidRPr="00525176">
        <w:rPr>
          <w:rFonts w:ascii="Times New Roman" w:hAnsi="Times New Roman" w:cs="Times New Roman"/>
          <w:sz w:val="28"/>
          <w:szCs w:val="28"/>
        </w:rPr>
        <w:t xml:space="preserve"> поверхностей. </w:t>
      </w:r>
      <w:r w:rsidR="00D51D92" w:rsidRPr="00525176">
        <w:rPr>
          <w:rFonts w:ascii="Times New Roman" w:hAnsi="Times New Roman" w:cs="Times New Roman"/>
          <w:sz w:val="28"/>
          <w:szCs w:val="28"/>
        </w:rPr>
        <w:t xml:space="preserve">Нанесение </w:t>
      </w:r>
      <w:proofErr w:type="spellStart"/>
      <w:r w:rsidR="00D51D92" w:rsidRPr="00525176">
        <w:rPr>
          <w:rFonts w:ascii="Times New Roman" w:hAnsi="Times New Roman" w:cs="Times New Roman"/>
          <w:sz w:val="28"/>
          <w:szCs w:val="28"/>
        </w:rPr>
        <w:t>микропокрытий</w:t>
      </w:r>
      <w:proofErr w:type="spellEnd"/>
      <w:r w:rsidR="00D51D92" w:rsidRPr="00525176">
        <w:rPr>
          <w:rFonts w:ascii="Times New Roman" w:hAnsi="Times New Roman" w:cs="Times New Roman"/>
          <w:sz w:val="28"/>
          <w:szCs w:val="28"/>
        </w:rPr>
        <w:t xml:space="preserve"> на поверхность позволяет увеличивать критический тепловой поток (КТП) в 2-3 раза по сравнению с гладкой поверхностью.</w:t>
      </w:r>
    </w:p>
    <w:p w14:paraId="3A106B1E" w14:textId="454B2466" w:rsidR="003C3B12" w:rsidRPr="00525176" w:rsidRDefault="00525176" w:rsidP="005D579B">
      <w:pPr>
        <w:spacing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878E74" wp14:editId="3CED95DF">
            <wp:simplePos x="0" y="0"/>
            <wp:positionH relativeFrom="column">
              <wp:posOffset>-48895</wp:posOffset>
            </wp:positionH>
            <wp:positionV relativeFrom="paragraph">
              <wp:posOffset>3368040</wp:posOffset>
            </wp:positionV>
            <wp:extent cx="2850515" cy="1673225"/>
            <wp:effectExtent l="0" t="0" r="698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12" w:rsidRPr="0052517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76D9F" w:rsidRPr="00525176">
        <w:rPr>
          <w:rFonts w:ascii="Times New Roman" w:hAnsi="Times New Roman" w:cs="Times New Roman"/>
          <w:sz w:val="28"/>
          <w:szCs w:val="28"/>
        </w:rPr>
        <w:t>[1] получена формула для расчета КТП на основании</w:t>
      </w:r>
      <w:r w:rsidR="006E6C53" w:rsidRPr="00525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D9F" w:rsidRPr="00525176">
        <w:rPr>
          <w:rFonts w:ascii="Times New Roman" w:eastAsia="Calibri" w:hAnsi="Times New Roman" w:cs="Times New Roman"/>
          <w:sz w:val="28"/>
          <w:szCs w:val="28"/>
        </w:rPr>
        <w:t>модели,</w:t>
      </w:r>
      <w:r w:rsidR="006E6C53" w:rsidRPr="00525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D9F" w:rsidRPr="00525176">
        <w:rPr>
          <w:rFonts w:ascii="Times New Roman" w:eastAsia="Calibri" w:hAnsi="Times New Roman" w:cs="Times New Roman"/>
          <w:sz w:val="28"/>
          <w:szCs w:val="28"/>
        </w:rPr>
        <w:t>учитывающей</w:t>
      </w:r>
      <w:r w:rsidR="006E6C53" w:rsidRPr="00525176">
        <w:rPr>
          <w:rFonts w:ascii="Times New Roman" w:eastAsia="Calibri" w:hAnsi="Times New Roman" w:cs="Times New Roman"/>
          <w:sz w:val="28"/>
          <w:szCs w:val="28"/>
        </w:rPr>
        <w:t>, что приток жидкости к границе сухого пятна обусловлен градиентом капиллярного давления.</w:t>
      </w:r>
      <w:r w:rsidR="006E6C53" w:rsidRPr="00525176">
        <w:rPr>
          <w:rFonts w:ascii="Times New Roman" w:eastAsia="Times New Roman" w:hAnsi="Times New Roman" w:cs="Times New Roman"/>
          <w:sz w:val="28"/>
          <w:szCs w:val="28"/>
        </w:rPr>
        <w:t xml:space="preserve"> В модели обосновывается, что вблизи кризиса кипения, когда размер сухого пятна намного превосходит радиус равновесного парового зародыша и толщину жидкой </w:t>
      </w:r>
      <w:proofErr w:type="spellStart"/>
      <w:r w:rsidR="006E6C53" w:rsidRPr="00525176">
        <w:rPr>
          <w:rFonts w:ascii="Times New Roman" w:eastAsia="Times New Roman" w:hAnsi="Times New Roman" w:cs="Times New Roman"/>
          <w:sz w:val="28"/>
          <w:szCs w:val="28"/>
        </w:rPr>
        <w:t>макропленки</w:t>
      </w:r>
      <w:proofErr w:type="spellEnd"/>
      <w:r w:rsidR="006E6C53" w:rsidRPr="00525176">
        <w:rPr>
          <w:rFonts w:ascii="Times New Roman" w:eastAsia="Times New Roman" w:hAnsi="Times New Roman" w:cs="Times New Roman"/>
          <w:sz w:val="28"/>
          <w:szCs w:val="28"/>
        </w:rPr>
        <w:t xml:space="preserve"> δ</w:t>
      </w:r>
      <w:r w:rsidR="006E6C53" w:rsidRPr="005251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="006E6C53" w:rsidRPr="00525176">
        <w:rPr>
          <w:rFonts w:ascii="Times New Roman" w:eastAsia="Times New Roman" w:hAnsi="Times New Roman" w:cs="Times New Roman"/>
          <w:sz w:val="28"/>
          <w:szCs w:val="28"/>
        </w:rPr>
        <w:t>, которая выступает в качестве основного характерного размера.</w:t>
      </w:r>
      <w:r w:rsidR="006E6C53" w:rsidRPr="00525176">
        <w:rPr>
          <w:rFonts w:ascii="Times New Roman" w:hAnsi="Times New Roman" w:cs="Times New Roman"/>
          <w:sz w:val="28"/>
          <w:szCs w:val="28"/>
        </w:rPr>
        <w:t xml:space="preserve"> </w:t>
      </w:r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>Если процесс происходит на структурированной поверхности, то к градиенту давления за счет кривизны мениска пленки</w:t>
      </w:r>
      <w:r w:rsidR="00A76D9F" w:rsidRPr="005251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 xml:space="preserve"> добавляется градиент капиллярного давления в </w:t>
      </w:r>
      <w:proofErr w:type="spellStart"/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>микроканалах</w:t>
      </w:r>
      <w:proofErr w:type="spellEnd"/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A76D9F" w:rsidRPr="00525176">
        <w:rPr>
          <w:rFonts w:ascii="Times New Roman" w:eastAsia="Times New Roman" w:hAnsi="Times New Roman" w:cs="Times New Roman"/>
          <w:sz w:val="28"/>
          <w:szCs w:val="28"/>
        </w:rPr>
        <w:t xml:space="preserve"> ростом </w:t>
      </w:r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 xml:space="preserve">теплового потока на стенке толщина пленки уменьшается, а диаметр парового пузыря возрастает, происходит к необратимому росту размера сухого пятна, </w:t>
      </w:r>
      <w:r w:rsidR="00A76D9F" w:rsidRPr="0052517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r w:rsidR="00A76D9F" w:rsidRPr="00525176">
        <w:rPr>
          <w:rFonts w:ascii="Times New Roman" w:eastAsia="Times New Roman" w:hAnsi="Times New Roman" w:cs="Times New Roman"/>
          <w:sz w:val="28"/>
          <w:szCs w:val="28"/>
        </w:rPr>
        <w:t>наступление кризиса теплообмена</w:t>
      </w:r>
      <w:r w:rsidR="0077207C" w:rsidRPr="00525176">
        <w:rPr>
          <w:rFonts w:ascii="Times New Roman" w:eastAsia="Times New Roman" w:hAnsi="Times New Roman" w:cs="Times New Roman"/>
          <w:sz w:val="28"/>
          <w:szCs w:val="28"/>
        </w:rPr>
        <w:t>. Учитывая влияние микроструктуры получена ф</w:t>
      </w:r>
      <w:r w:rsidR="003C3B12" w:rsidRPr="00525176">
        <w:rPr>
          <w:rFonts w:ascii="Times New Roman" w:hAnsi="Times New Roman" w:cs="Times New Roman"/>
          <w:sz w:val="28"/>
          <w:szCs w:val="28"/>
        </w:rPr>
        <w:t>ормула (1) для определения доли увеличения КТП на структурированной поверхности с регулярной морфологией относительно КТП на гладкой поверхности:</w:t>
      </w:r>
    </w:p>
    <w:p w14:paraId="22EA41A1" w14:textId="75FAEB7C" w:rsidR="003C3B12" w:rsidRPr="00525176" w:rsidRDefault="00F1678B" w:rsidP="00F1678B">
      <w:pPr>
        <w:tabs>
          <w:tab w:val="left" w:pos="3828"/>
        </w:tabs>
        <w:spacing w:after="20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кр.пов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μ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∆ρ</m:t>
                        </m:r>
                      </m:den>
                    </m:f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a+s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3C3B12" w:rsidRPr="00525176">
        <w:rPr>
          <w:rFonts w:ascii="Times New Roman" w:eastAsiaTheme="minorEastAsia" w:hAnsi="Times New Roman" w:cs="Times New Roman"/>
          <w:sz w:val="28"/>
          <w:szCs w:val="28"/>
        </w:rPr>
        <w:t>(1),</w:t>
      </w:r>
    </w:p>
    <w:p w14:paraId="0FE48E44" w14:textId="695BC863" w:rsidR="003C3B12" w:rsidRPr="00525176" w:rsidRDefault="003C3B12" w:rsidP="00A76D9F">
      <w:pPr>
        <w:spacing w:after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517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525176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Pr="0052517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Pr="00525176">
        <w:rPr>
          <w:rFonts w:ascii="Times New Roman" w:eastAsiaTheme="minorEastAsia" w:hAnsi="Times New Roman" w:cs="Times New Roman"/>
          <w:sz w:val="28"/>
          <w:szCs w:val="28"/>
        </w:rPr>
        <w:t xml:space="preserve"> – КТ</w:t>
      </w:r>
      <w:bookmarkStart w:id="0" w:name="_GoBack"/>
      <w:bookmarkEnd w:id="0"/>
      <w:r w:rsidRPr="00525176">
        <w:rPr>
          <w:rFonts w:ascii="Times New Roman" w:eastAsiaTheme="minorEastAsia" w:hAnsi="Times New Roman" w:cs="Times New Roman"/>
          <w:sz w:val="28"/>
          <w:szCs w:val="28"/>
        </w:rPr>
        <w:t xml:space="preserve">П на базовой (гладкой) поверхности; </w:t>
      </w:r>
      <w:proofErr w:type="spellStart"/>
      <w:r w:rsidRPr="00525176">
        <w:rPr>
          <w:rFonts w:ascii="Times New Roman" w:eastAsiaTheme="minorEastAsia" w:hAnsi="Times New Roman" w:cs="Times New Roman"/>
          <w:i/>
          <w:sz w:val="28"/>
          <w:szCs w:val="28"/>
        </w:rPr>
        <w:t>q</w:t>
      </w:r>
      <w:r w:rsidRPr="0052517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кр.пов</w:t>
      </w:r>
      <w:proofErr w:type="spellEnd"/>
      <w:r w:rsidRPr="00525176">
        <w:rPr>
          <w:rFonts w:ascii="Times New Roman" w:eastAsiaTheme="minorEastAsia" w:hAnsi="Times New Roman" w:cs="Times New Roman"/>
          <w:sz w:val="28"/>
          <w:szCs w:val="28"/>
        </w:rPr>
        <w:t xml:space="preserve"> – КТП на структурированной поверхности.</w:t>
      </w:r>
    </w:p>
    <w:p w14:paraId="24595935" w14:textId="3236E906" w:rsidR="00525176" w:rsidRPr="004F775C" w:rsidRDefault="00525176" w:rsidP="004F775C">
      <w:pPr>
        <w:spacing w:after="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1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AF18A" wp14:editId="699DAF82">
                <wp:simplePos x="0" y="0"/>
                <wp:positionH relativeFrom="column">
                  <wp:posOffset>-2866390</wp:posOffset>
                </wp:positionH>
                <wp:positionV relativeFrom="paragraph">
                  <wp:posOffset>198120</wp:posOffset>
                </wp:positionV>
                <wp:extent cx="2657475" cy="523875"/>
                <wp:effectExtent l="0" t="0" r="9525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AB2C22" w14:textId="791F88E7" w:rsidR="006E6C53" w:rsidRPr="00525176" w:rsidRDefault="006E6C53" w:rsidP="006E6C5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. Зависимость </w:t>
                            </w:r>
                            <w:proofErr w:type="spellStart"/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qкр.экспер</w:t>
                            </w:r>
                            <w:proofErr w:type="spellEnd"/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qкр</w:t>
                            </w:r>
                            <w:proofErr w:type="spellEnd"/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="00525176"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рас</w:t>
                            </w:r>
                            <w:r w:rsidRPr="0052517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чет от R (коэффициент развития поверхности)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F1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5.7pt;margin-top:15.6pt;width:209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" stroked="f">
                <v:textbox inset="0,0,0,0">
                  <w:txbxContent>
                    <w:p w14:paraId="69AB2C22" w14:textId="791F88E7" w:rsidR="006E6C53" w:rsidRPr="00525176" w:rsidRDefault="006E6C53" w:rsidP="006E6C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 Зависимость </w:t>
                      </w:r>
                      <w:proofErr w:type="spellStart"/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qкр.экспер</w:t>
                      </w:r>
                      <w:proofErr w:type="spellEnd"/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qкр</w:t>
                      </w:r>
                      <w:proofErr w:type="spellEnd"/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="00525176"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рас</w:t>
                      </w:r>
                      <w:r w:rsidRPr="0052517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чет от R (коэффициент развития поверхности)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t>На рис.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3C3B12" w:rsidRPr="00525176">
        <w:rPr>
          <w:rFonts w:ascii="Times New Roman" w:hAnsi="Times New Roman" w:cs="Times New Roman"/>
          <w:iCs/>
          <w:sz w:val="28"/>
          <w:szCs w:val="28"/>
        </w:rPr>
        <w:t xml:space="preserve">1 представлены </w: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t xml:space="preserve">результаты расчетов КТП по (1), выполненные для работ [2-7], где получены значения КТП на регулярных </w:t>
      </w:r>
      <w:proofErr w:type="spellStart"/>
      <w:r w:rsidR="00A76D9F" w:rsidRPr="00525176">
        <w:rPr>
          <w:rFonts w:ascii="Times New Roman" w:hAnsi="Times New Roman" w:cs="Times New Roman"/>
          <w:iCs/>
          <w:sz w:val="28"/>
          <w:szCs w:val="28"/>
        </w:rPr>
        <w:t>микроструктурированных</w:t>
      </w:r>
      <w:proofErr w:type="spellEnd"/>
      <w:r w:rsidR="00A76D9F" w:rsidRPr="00525176">
        <w:rPr>
          <w:rFonts w:ascii="Times New Roman" w:hAnsi="Times New Roman" w:cs="Times New Roman"/>
          <w:iCs/>
          <w:sz w:val="28"/>
          <w:szCs w:val="28"/>
        </w:rPr>
        <w:t xml:space="preserve"> поверхностях, в большинстве своем при кипении воды при атмосферном давлении</w:t>
      </w:r>
      <w:r w:rsidR="003C3B12" w:rsidRPr="00525176">
        <w:rPr>
          <w:rFonts w:ascii="Times New Roman" w:hAnsi="Times New Roman" w:cs="Times New Roman"/>
          <w:iCs/>
          <w:sz w:val="28"/>
          <w:szCs w:val="28"/>
        </w:rPr>
        <w:t>.</w: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t xml:space="preserve"> Результаты </w: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сопоставления расчетов по (1) и экспериментальных данных показывают значительный </w:t>
      </w:r>
      <w:r w:rsidR="003D279B" w:rsidRPr="00525176">
        <w:rPr>
          <w:rFonts w:ascii="Times New Roman" w:hAnsi="Times New Roman" w:cs="Times New Roman"/>
          <w:iCs/>
          <w:sz w:val="28"/>
          <w:szCs w:val="28"/>
        </w:rPr>
        <w:t>разброс, достигающий 50%. Уравнение (1)</w: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79B" w:rsidRPr="00525176">
        <w:rPr>
          <w:rFonts w:ascii="Times New Roman" w:hAnsi="Times New Roman" w:cs="Times New Roman"/>
          <w:iCs/>
          <w:sz w:val="28"/>
          <w:szCs w:val="28"/>
        </w:rPr>
        <w:t>позволяет оценить возможность увеличения КТП, для более серьезных выводов необходима апробация расчетов на большем массиве данны</w:t>
      </w:r>
      <w:r w:rsidR="00A76D9F" w:rsidRPr="00525176">
        <w:rPr>
          <w:rFonts w:ascii="Times New Roman" w:hAnsi="Times New Roman" w:cs="Times New Roman"/>
          <w:iCs/>
          <w:sz w:val="28"/>
          <w:szCs w:val="28"/>
        </w:rPr>
        <w:t>х</w:t>
      </w:r>
      <w:r w:rsidR="003D279B" w:rsidRPr="0052517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BB8034" w14:textId="0423CE14" w:rsidR="00530E73" w:rsidRPr="00525176" w:rsidRDefault="00530E73" w:rsidP="005D579B">
      <w:pPr>
        <w:spacing w:after="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17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D55D3" w:rsidRPr="00525176">
        <w:rPr>
          <w:rFonts w:ascii="Times New Roman" w:hAnsi="Times New Roman" w:cs="Times New Roman"/>
          <w:b/>
          <w:sz w:val="28"/>
          <w:szCs w:val="28"/>
        </w:rPr>
        <w:t>:</w:t>
      </w:r>
    </w:p>
    <w:p w14:paraId="4BB92A9F" w14:textId="271C89D7" w:rsidR="005D579B" w:rsidRPr="00525176" w:rsidRDefault="005D579B" w:rsidP="007720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76">
        <w:rPr>
          <w:rFonts w:ascii="Times New Roman" w:hAnsi="Times New Roman" w:cs="Times New Roman"/>
          <w:sz w:val="28"/>
          <w:szCs w:val="28"/>
        </w:rPr>
        <w:t>Л.А.</w:t>
      </w:r>
      <w:r w:rsidR="00F167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5176">
        <w:rPr>
          <w:rFonts w:ascii="Times New Roman" w:hAnsi="Times New Roman" w:cs="Times New Roman"/>
          <w:sz w:val="28"/>
          <w:szCs w:val="28"/>
        </w:rPr>
        <w:t>Сукомел</w:t>
      </w:r>
      <w:proofErr w:type="spellEnd"/>
      <w:r w:rsidRPr="00525176">
        <w:rPr>
          <w:rFonts w:ascii="Times New Roman" w:hAnsi="Times New Roman" w:cs="Times New Roman"/>
          <w:sz w:val="28"/>
          <w:szCs w:val="28"/>
        </w:rPr>
        <w:t>, В.В.</w:t>
      </w:r>
      <w:r w:rsidR="00F167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5176">
        <w:rPr>
          <w:rFonts w:ascii="Times New Roman" w:hAnsi="Times New Roman" w:cs="Times New Roman"/>
          <w:sz w:val="28"/>
          <w:szCs w:val="28"/>
        </w:rPr>
        <w:t>Ягов</w:t>
      </w:r>
      <w:proofErr w:type="spellEnd"/>
      <w:r w:rsidRPr="00525176">
        <w:rPr>
          <w:rFonts w:ascii="Times New Roman" w:hAnsi="Times New Roman" w:cs="Times New Roman"/>
          <w:sz w:val="28"/>
          <w:szCs w:val="28"/>
        </w:rPr>
        <w:t xml:space="preserve">. Возможности повышения критических тепловых потоков при </w:t>
      </w:r>
      <w:proofErr w:type="spellStart"/>
      <w:r w:rsidRPr="00525176">
        <w:rPr>
          <w:rFonts w:ascii="Times New Roman" w:hAnsi="Times New Roman" w:cs="Times New Roman"/>
          <w:sz w:val="28"/>
          <w:szCs w:val="28"/>
        </w:rPr>
        <w:t>кипенина</w:t>
      </w:r>
      <w:proofErr w:type="spellEnd"/>
      <w:r w:rsidRPr="00525176">
        <w:rPr>
          <w:rFonts w:ascii="Times New Roman" w:hAnsi="Times New Roman" w:cs="Times New Roman"/>
          <w:sz w:val="28"/>
          <w:szCs w:val="28"/>
        </w:rPr>
        <w:t xml:space="preserve"> поверхностях с пористыми покрытиями (обзор) \\ Вестник МЭИ, 2017</w:t>
      </w:r>
      <w:r w:rsidR="00E452B5" w:rsidRPr="00525176">
        <w:rPr>
          <w:rFonts w:ascii="Times New Roman" w:hAnsi="Times New Roman" w:cs="Times New Roman"/>
          <w:sz w:val="28"/>
          <w:szCs w:val="28"/>
        </w:rPr>
        <w:t>. С. 55-67.</w:t>
      </w:r>
    </w:p>
    <w:p w14:paraId="0A0BE0D5" w14:textId="6E13B0E2" w:rsidR="005D579B" w:rsidRPr="00525176" w:rsidRDefault="005D579B" w:rsidP="005D579B">
      <w:pPr>
        <w:pStyle w:val="a4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5176">
        <w:rPr>
          <w:rFonts w:ascii="Times New Roman" w:hAnsi="Times New Roman" w:cs="Times New Roman"/>
          <w:noProof/>
          <w:sz w:val="28"/>
          <w:szCs w:val="28"/>
        </w:rPr>
        <w:t>А.В.</w:t>
      </w:r>
      <w:r w:rsidR="00F1678B">
        <w:rPr>
          <w:rFonts w:ascii="Times New Roman" w:hAnsi="Times New Roman" w:cs="Times New Roman"/>
          <w:noProof/>
          <w:sz w:val="28"/>
          <w:szCs w:val="28"/>
        </w:rPr>
        <w:t> </w:t>
      </w:r>
      <w:r w:rsidRPr="00525176">
        <w:rPr>
          <w:rFonts w:ascii="Times New Roman" w:hAnsi="Times New Roman" w:cs="Times New Roman"/>
          <w:noProof/>
          <w:sz w:val="28"/>
          <w:szCs w:val="28"/>
        </w:rPr>
        <w:t>Щелчков, Р.Р.</w:t>
      </w:r>
      <w:r w:rsidR="00F1678B">
        <w:rPr>
          <w:rFonts w:ascii="Times New Roman" w:hAnsi="Times New Roman" w:cs="Times New Roman"/>
          <w:noProof/>
          <w:sz w:val="28"/>
          <w:szCs w:val="28"/>
        </w:rPr>
        <w:t> </w:t>
      </w:r>
      <w:r w:rsidRPr="00525176">
        <w:rPr>
          <w:rFonts w:ascii="Times New Roman" w:hAnsi="Times New Roman" w:cs="Times New Roman"/>
          <w:noProof/>
          <w:sz w:val="28"/>
          <w:szCs w:val="28"/>
        </w:rPr>
        <w:t>Хакимзянов. Теплоотдача на микроструктурированных поверхностях при кипении воды в условиях свободной конвекции. 2014</w:t>
      </w:r>
      <w:r w:rsidR="00F1678B">
        <w:rPr>
          <w:rFonts w:ascii="Times New Roman" w:hAnsi="Times New Roman" w:cs="Times New Roman"/>
          <w:noProof/>
          <w:sz w:val="28"/>
          <w:szCs w:val="28"/>
        </w:rPr>
        <w:t>. С.263-266.</w:t>
      </w:r>
    </w:p>
    <w:p w14:paraId="59435D7F" w14:textId="3D577F09" w:rsidR="00575083" w:rsidRPr="00525176" w:rsidRDefault="00575083" w:rsidP="005D57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Kuang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>-Han Chu, Ryan Enright, Evelyn N. Wang. Structured surfaces for enhanced pool boiling heat transfer \\ American Institute of Physics, 2012</w:t>
      </w:r>
      <w:r w:rsidR="00737013"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7013" w:rsidRPr="00525176">
        <w:rPr>
          <w:rFonts w:ascii="Times New Roman" w:hAnsi="Times New Roman" w:cs="Times New Roman"/>
          <w:sz w:val="28"/>
          <w:szCs w:val="28"/>
        </w:rPr>
        <w:t>5 с.</w:t>
      </w:r>
    </w:p>
    <w:p w14:paraId="1991E223" w14:textId="7F96598D" w:rsidR="00575083" w:rsidRPr="00525176" w:rsidRDefault="00575083" w:rsidP="005D57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176">
        <w:rPr>
          <w:rFonts w:ascii="Times New Roman" w:hAnsi="Times New Roman" w:cs="Times New Roman"/>
          <w:noProof/>
          <w:sz w:val="28"/>
          <w:szCs w:val="28"/>
          <w:lang w:val="en-US"/>
        </w:rPr>
        <w:t>Lining Dong, Xiaojun Quan, Ping Cheng. An experimental investigation of enhanced pool boiling heat transfer from surfaces with micro/nano-structures.\\</w:t>
      </w:r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176">
        <w:rPr>
          <w:rFonts w:ascii="Times New Roman" w:hAnsi="Times New Roman" w:cs="Times New Roman"/>
          <w:noProof/>
          <w:sz w:val="28"/>
          <w:szCs w:val="28"/>
          <w:lang w:val="en-US"/>
        </w:rPr>
        <w:t>International Journal of Heat and Mass Transfer, 2013</w:t>
      </w:r>
      <w:r w:rsidR="00F1678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742F263" w14:textId="34FF0F2E" w:rsidR="00575083" w:rsidRPr="00525176" w:rsidRDefault="00575083" w:rsidP="005D57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Navdeep Singh Dhillon, Jacopo Buongiorno, Kripa K. Varanasi.  Critical heat </w:t>
      </w:r>
      <w:r w:rsidRPr="00525176">
        <w:rPr>
          <w:rFonts w:ascii="Times New Roman" w:hAnsi="Times New Roman" w:cs="Times New Roman"/>
          <w:sz w:val="28"/>
          <w:szCs w:val="28"/>
        </w:rPr>
        <w:t>ﬂ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ux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maxima during boiling crisis on textured surfaces \\ NATURE COMMUNICATIONS, 2015</w:t>
      </w:r>
      <w:r w:rsidR="00737013"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7013" w:rsidRPr="00525176">
        <w:rPr>
          <w:rFonts w:ascii="Times New Roman" w:hAnsi="Times New Roman" w:cs="Times New Roman"/>
          <w:sz w:val="28"/>
          <w:szCs w:val="28"/>
        </w:rPr>
        <w:t>С. 189-196.</w:t>
      </w:r>
    </w:p>
    <w:p w14:paraId="4810FD79" w14:textId="65EAACEB" w:rsidR="00575083" w:rsidRPr="00525176" w:rsidRDefault="00575083" w:rsidP="005D57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Seol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Kima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Cheol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Leeb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, Jun Young Kanga,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Kiyofumi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Moriyamaa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, Moo Hwan 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Kima</w:t>
      </w:r>
      <w:proofErr w:type="gramStart"/>
      <w:r w:rsidRPr="00525176">
        <w:rPr>
          <w:rFonts w:ascii="Times New Roman" w:hAnsi="Times New Roman" w:cs="Times New Roman"/>
          <w:sz w:val="28"/>
          <w:szCs w:val="28"/>
          <w:lang w:val="en-US"/>
        </w:rPr>
        <w:t>,c</w:t>
      </w:r>
      <w:proofErr w:type="spellEnd"/>
      <w:proofErr w:type="gram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, Hyun Sun Park. Boiling heat transfer and critical heat </w:t>
      </w:r>
      <w:r w:rsidRPr="00525176">
        <w:rPr>
          <w:rFonts w:ascii="Times New Roman" w:hAnsi="Times New Roman" w:cs="Times New Roman"/>
          <w:sz w:val="28"/>
          <w:szCs w:val="28"/>
        </w:rPr>
        <w:t>ﬂ</w:t>
      </w:r>
      <w:proofErr w:type="spellStart"/>
      <w:r w:rsidRPr="00525176">
        <w:rPr>
          <w:rFonts w:ascii="Times New Roman" w:hAnsi="Times New Roman" w:cs="Times New Roman"/>
          <w:sz w:val="28"/>
          <w:szCs w:val="28"/>
          <w:lang w:val="en-US"/>
        </w:rPr>
        <w:t>ux</w:t>
      </w:r>
      <w:proofErr w:type="spellEnd"/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pool boiling on micro structured surface \\ International Journal of Heat and Mass Transfer, 2015</w:t>
      </w:r>
      <w:r w:rsidR="00737013"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7013" w:rsidRPr="00525176">
        <w:rPr>
          <w:rFonts w:ascii="Times New Roman" w:hAnsi="Times New Roman" w:cs="Times New Roman"/>
          <w:sz w:val="28"/>
          <w:szCs w:val="28"/>
        </w:rPr>
        <w:t>С. 1140-1147.</w:t>
      </w:r>
    </w:p>
    <w:p w14:paraId="503FA439" w14:textId="5B362549" w:rsidR="00575083" w:rsidRPr="00525176" w:rsidRDefault="00575083" w:rsidP="00D73A29">
      <w:pPr>
        <w:pStyle w:val="a4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176">
        <w:rPr>
          <w:rFonts w:ascii="Times New Roman" w:hAnsi="Times New Roman" w:cs="Times New Roman"/>
          <w:noProof/>
          <w:sz w:val="28"/>
          <w:szCs w:val="28"/>
          <w:lang w:val="en-US"/>
        </w:rPr>
        <w:t>Xianbing Ji, Jinliang Xu, Ziwei Zhao, Wolong Yang. Pool boiling heat transfer on uniform and non-uniform porous coating surfaces.\\</w:t>
      </w:r>
      <w:r w:rsidRPr="005251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176">
        <w:rPr>
          <w:rFonts w:ascii="Times New Roman" w:hAnsi="Times New Roman" w:cs="Times New Roman"/>
          <w:noProof/>
          <w:sz w:val="28"/>
          <w:szCs w:val="28"/>
          <w:lang w:val="en-US"/>
        </w:rPr>
        <w:t>Experim ental Thermal and Fluid Science, 2013</w:t>
      </w:r>
      <w:r w:rsidR="00737013" w:rsidRPr="00525176">
        <w:rPr>
          <w:rFonts w:ascii="Times New Roman" w:hAnsi="Times New Roman" w:cs="Times New Roman"/>
          <w:noProof/>
          <w:sz w:val="28"/>
          <w:szCs w:val="28"/>
        </w:rPr>
        <w:t>. С. 198-212.</w:t>
      </w:r>
    </w:p>
    <w:p w14:paraId="7ED210BB" w14:textId="10AEB117" w:rsidR="00A76D9F" w:rsidRPr="00525176" w:rsidRDefault="00A76D9F" w:rsidP="00226DB3">
      <w:pPr>
        <w:ind w:left="360" w:firstLine="349"/>
        <w:rPr>
          <w:rFonts w:ascii="Times New Roman" w:hAnsi="Times New Roman" w:cs="Times New Roman"/>
          <w:i/>
          <w:iCs/>
          <w:sz w:val="28"/>
          <w:szCs w:val="28"/>
        </w:rPr>
      </w:pPr>
      <w:r w:rsidRPr="005251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выполнена при поддержке гранта РНФ 19-19-00410</w:t>
      </w:r>
    </w:p>
    <w:p w14:paraId="7446C8FC" w14:textId="66F6E19C" w:rsidR="00C22E8A" w:rsidRPr="00525176" w:rsidRDefault="00C22E8A" w:rsidP="001321B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22E8A" w:rsidRPr="00525176" w:rsidSect="00525176">
      <w:pgSz w:w="11906" w:h="16838"/>
      <w:pgMar w:top="1134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6FA5"/>
    <w:multiLevelType w:val="hybridMultilevel"/>
    <w:tmpl w:val="311E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F4"/>
    <w:rsid w:val="001321B3"/>
    <w:rsid w:val="00226DB3"/>
    <w:rsid w:val="003863AF"/>
    <w:rsid w:val="003A078B"/>
    <w:rsid w:val="003A35F4"/>
    <w:rsid w:val="003C3B12"/>
    <w:rsid w:val="003D279B"/>
    <w:rsid w:val="003D32CC"/>
    <w:rsid w:val="004F775C"/>
    <w:rsid w:val="00525176"/>
    <w:rsid w:val="00530E73"/>
    <w:rsid w:val="00575083"/>
    <w:rsid w:val="005D579B"/>
    <w:rsid w:val="006047DB"/>
    <w:rsid w:val="00653B59"/>
    <w:rsid w:val="006620D1"/>
    <w:rsid w:val="00670C3D"/>
    <w:rsid w:val="006E6C53"/>
    <w:rsid w:val="00737013"/>
    <w:rsid w:val="0077207C"/>
    <w:rsid w:val="008D55D3"/>
    <w:rsid w:val="009A5521"/>
    <w:rsid w:val="00A76D9F"/>
    <w:rsid w:val="00C22E8A"/>
    <w:rsid w:val="00C84527"/>
    <w:rsid w:val="00D51D92"/>
    <w:rsid w:val="00D73A29"/>
    <w:rsid w:val="00DD4E89"/>
    <w:rsid w:val="00E452B5"/>
    <w:rsid w:val="00F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BA49"/>
  <w15:docId w15:val="{FE461399-D5D5-4E23-BE74-756FD310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_СпОрганизаций"/>
    <w:next w:val="a"/>
    <w:rsid w:val="00C22E8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5">
    <w:name w:val="5_НазвДоклада"/>
    <w:next w:val="a"/>
    <w:rsid w:val="00C22E8A"/>
    <w:pPr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E7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6E6C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2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dn.solntsev@yandex.ru</cp:lastModifiedBy>
  <cp:revision>14</cp:revision>
  <dcterms:created xsi:type="dcterms:W3CDTF">2020-06-23T06:48:00Z</dcterms:created>
  <dcterms:modified xsi:type="dcterms:W3CDTF">2023-02-13T10:32:00Z</dcterms:modified>
</cp:coreProperties>
</file>